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8D8E9" w14:textId="168F5DFD" w:rsidR="000172B9" w:rsidRDefault="0039037C">
      <w:pPr>
        <w:pStyle w:val="Corpotesto"/>
        <w:spacing w:before="5"/>
        <w:rPr>
          <w:rFonts w:ascii="Times New Roman"/>
        </w:rPr>
      </w:pPr>
      <w:r>
        <w:rPr>
          <w:noProof/>
        </w:rPr>
        <w:pict w14:anchorId="0B8C0B04">
          <v:roundrect id="Rettangolo con angoli arrotondati 1" o:spid="_x0000_s1026" style="position:absolute;margin-left:-16.8pt;margin-top:-7.5pt;width:515.7pt;height:735.6pt;z-index:25166028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3/4RHN8AAAAMAQAADwAAAAAAAAAAAAAAAAAVBQAAZHJzL2Rvd25yZXYueG1sUEsFBgAAAAAEAAQA&#10;8wAAACEGAAAAAA==&#10;" filled="f" strokecolor="black [3213]" strokeweight="2pt"/>
        </w:pict>
      </w:r>
    </w:p>
    <w:p w14:paraId="16E65BA8" w14:textId="35258FD4" w:rsidR="000172B9" w:rsidRPr="00A37F68" w:rsidRDefault="00803F7C" w:rsidP="00803F7C">
      <w:pPr>
        <w:pStyle w:val="Titolo1"/>
        <w:rPr>
          <w:sz w:val="60"/>
          <w:szCs w:val="60"/>
          <w:lang w:val="it-IT"/>
        </w:rPr>
      </w:pPr>
      <w:r w:rsidRPr="00A37F68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7D0B9320" wp14:editId="40182E0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37F68">
        <w:rPr>
          <w:sz w:val="60"/>
          <w:szCs w:val="60"/>
          <w:lang w:val="it-IT"/>
        </w:rPr>
        <w:t>ANTISPATTER WB A385</w:t>
      </w:r>
    </w:p>
    <w:p w14:paraId="1E56FCEC" w14:textId="77777777" w:rsidR="000172B9" w:rsidRPr="00AB1088" w:rsidRDefault="000172B9">
      <w:pPr>
        <w:pStyle w:val="Corpotesto"/>
        <w:spacing w:before="8"/>
        <w:rPr>
          <w:rFonts w:ascii="Impact"/>
          <w:b/>
          <w:sz w:val="93"/>
          <w:lang w:val="it-IT"/>
        </w:rPr>
      </w:pPr>
    </w:p>
    <w:p w14:paraId="560E4564" w14:textId="77777777" w:rsidR="00890802" w:rsidRPr="00165A9F" w:rsidRDefault="00890802" w:rsidP="004864E8">
      <w:pPr>
        <w:pStyle w:val="Corpotesto"/>
        <w:spacing w:line="254" w:lineRule="auto"/>
        <w:ind w:left="115"/>
        <w:jc w:val="both"/>
        <w:rPr>
          <w:w w:val="105"/>
          <w:sz w:val="20"/>
          <w:szCs w:val="20"/>
          <w:lang w:val="it-IT"/>
        </w:rPr>
      </w:pPr>
      <w:proofErr w:type="spellStart"/>
      <w:r>
        <w:rPr>
          <w:b/>
          <w:w w:val="105"/>
          <w:sz w:val="24"/>
          <w:lang w:val="it-IT"/>
        </w:rPr>
        <w:t>ANTISPATTER</w:t>
      </w:r>
      <w:proofErr w:type="spellEnd"/>
      <w:r>
        <w:rPr>
          <w:b/>
          <w:w w:val="105"/>
          <w:sz w:val="24"/>
          <w:lang w:val="it-IT"/>
        </w:rPr>
        <w:t xml:space="preserve"> </w:t>
      </w:r>
      <w:proofErr w:type="spellStart"/>
      <w:r>
        <w:rPr>
          <w:b/>
          <w:w w:val="105"/>
          <w:sz w:val="24"/>
          <w:lang w:val="it-IT"/>
        </w:rPr>
        <w:t>WB</w:t>
      </w:r>
      <w:proofErr w:type="spellEnd"/>
      <w:r>
        <w:rPr>
          <w:b/>
          <w:w w:val="105"/>
          <w:sz w:val="24"/>
          <w:lang w:val="it-IT"/>
        </w:rPr>
        <w:t xml:space="preserve"> A385 </w:t>
      </w:r>
      <w:r w:rsidRPr="00165A9F">
        <w:rPr>
          <w:w w:val="105"/>
          <w:sz w:val="20"/>
          <w:szCs w:val="20"/>
          <w:lang w:val="it-IT"/>
        </w:rPr>
        <w:t>è un formulato antiadesivo e distaccante per saldatura che evita l’adesione di scorie e gocce di saldatura sui supporti e sui pezzi in lavorazione.</w:t>
      </w:r>
    </w:p>
    <w:p w14:paraId="0A31A8C1" w14:textId="4B490621" w:rsidR="000172B9" w:rsidRPr="00165A9F" w:rsidRDefault="00890802" w:rsidP="004864E8">
      <w:pPr>
        <w:pStyle w:val="Corpotesto"/>
        <w:spacing w:line="254" w:lineRule="auto"/>
        <w:ind w:left="115"/>
        <w:jc w:val="both"/>
        <w:rPr>
          <w:sz w:val="20"/>
          <w:szCs w:val="20"/>
          <w:lang w:val="it-IT"/>
        </w:rPr>
      </w:pPr>
      <w:r w:rsidRPr="00165A9F">
        <w:rPr>
          <w:w w:val="105"/>
          <w:sz w:val="20"/>
          <w:szCs w:val="20"/>
          <w:lang w:val="it-IT"/>
        </w:rPr>
        <w:t xml:space="preserve">È esente da siliconi e quindi le superficie trattate sono </w:t>
      </w:r>
      <w:r w:rsidR="00AB1088" w:rsidRPr="00165A9F">
        <w:rPr>
          <w:w w:val="105"/>
          <w:sz w:val="20"/>
          <w:szCs w:val="20"/>
          <w:lang w:val="it-IT"/>
        </w:rPr>
        <w:t>idonee a ricevere operazioni di verniciatura, cromatura e serigrafia</w:t>
      </w:r>
      <w:r w:rsidRPr="00165A9F">
        <w:rPr>
          <w:w w:val="105"/>
          <w:sz w:val="20"/>
          <w:szCs w:val="20"/>
          <w:lang w:val="it-IT"/>
        </w:rPr>
        <w:t xml:space="preserve"> previa pulizia del pezzo.</w:t>
      </w:r>
    </w:p>
    <w:p w14:paraId="59FFC7DF" w14:textId="77777777" w:rsidR="00890802" w:rsidRPr="00165A9F" w:rsidRDefault="00890802" w:rsidP="004864E8">
      <w:pPr>
        <w:pStyle w:val="Corpotesto"/>
        <w:spacing w:line="266" w:lineRule="auto"/>
        <w:ind w:left="115" w:right="443"/>
        <w:jc w:val="both"/>
        <w:rPr>
          <w:sz w:val="20"/>
          <w:szCs w:val="20"/>
          <w:lang w:val="it-IT"/>
        </w:rPr>
      </w:pPr>
      <w:r w:rsidRPr="00165A9F">
        <w:rPr>
          <w:w w:val="105"/>
          <w:sz w:val="20"/>
          <w:szCs w:val="20"/>
          <w:lang w:val="it-IT"/>
        </w:rPr>
        <w:t>Questo prodotto è ideale per essere utilizzato nel campo della saldatura e nell’industria delle materie plastiche come distaccante per gli stampi.</w:t>
      </w:r>
    </w:p>
    <w:p w14:paraId="2E239E60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277F8D70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6361BCE1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3797F09C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5AF66796" w14:textId="77777777" w:rsidR="000172B9" w:rsidRPr="00AB1088" w:rsidRDefault="000172B9">
      <w:pPr>
        <w:pStyle w:val="Corpotesto"/>
        <w:rPr>
          <w:sz w:val="20"/>
          <w:lang w:val="it-IT"/>
        </w:rPr>
      </w:pPr>
      <w:bookmarkStart w:id="0" w:name="_GoBack"/>
      <w:bookmarkEnd w:id="0"/>
    </w:p>
    <w:p w14:paraId="39F0DA4E" w14:textId="77777777" w:rsidR="000172B9" w:rsidRPr="00BE6B70" w:rsidRDefault="000172B9">
      <w:pPr>
        <w:pStyle w:val="Corpotesto"/>
        <w:spacing w:before="2"/>
        <w:rPr>
          <w:sz w:val="20"/>
          <w:szCs w:val="20"/>
          <w:lang w:val="it-IT"/>
        </w:rPr>
      </w:pPr>
    </w:p>
    <w:p w14:paraId="67F3C2FE" w14:textId="77777777" w:rsidR="000172B9" w:rsidRPr="00BE6B70" w:rsidRDefault="00AB1088">
      <w:pPr>
        <w:pStyle w:val="Titolo2"/>
        <w:rPr>
          <w:sz w:val="20"/>
          <w:szCs w:val="20"/>
        </w:rPr>
      </w:pPr>
      <w:r w:rsidRPr="00BE6B70">
        <w:rPr>
          <w:sz w:val="20"/>
          <w:szCs w:val="20"/>
        </w:rPr>
        <w:t>CARATTERISTICHE CHIMICO-FISICHE</w:t>
      </w:r>
    </w:p>
    <w:p w14:paraId="0D8C7041" w14:textId="77777777" w:rsidR="000172B9" w:rsidRDefault="000172B9">
      <w:pPr>
        <w:pStyle w:val="Corpotesto"/>
        <w:spacing w:before="1"/>
        <w:rPr>
          <w:b/>
          <w:sz w:val="9"/>
        </w:rPr>
      </w:pPr>
    </w:p>
    <w:tbl>
      <w:tblPr>
        <w:tblStyle w:val="TableNormal"/>
        <w:tblW w:w="921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7"/>
        <w:gridCol w:w="4067"/>
      </w:tblGrid>
      <w:tr w:rsidR="000172B9" w:rsidRPr="009C553C" w14:paraId="3B4646B2" w14:textId="77777777" w:rsidTr="004864E8">
        <w:trPr>
          <w:trHeight w:val="397"/>
        </w:trPr>
        <w:tc>
          <w:tcPr>
            <w:tcW w:w="5147" w:type="dxa"/>
            <w:shd w:val="clear" w:color="auto" w:fill="EDEDED"/>
            <w:vAlign w:val="center"/>
          </w:tcPr>
          <w:p w14:paraId="3E539904" w14:textId="77777777" w:rsidR="000172B9" w:rsidRDefault="00AB1088" w:rsidP="00A37F68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4067" w:type="dxa"/>
            <w:shd w:val="clear" w:color="auto" w:fill="EDEDED"/>
            <w:vAlign w:val="center"/>
          </w:tcPr>
          <w:p w14:paraId="2821FF27" w14:textId="77777777" w:rsidR="000172B9" w:rsidRPr="00AB1088" w:rsidRDefault="00AB1088" w:rsidP="00A37F68">
            <w:pPr>
              <w:pStyle w:val="TableParagraph"/>
              <w:rPr>
                <w:sz w:val="17"/>
                <w:lang w:val="it-IT"/>
              </w:rPr>
            </w:pPr>
            <w:r w:rsidRPr="00AB1088">
              <w:rPr>
                <w:sz w:val="17"/>
                <w:lang w:val="it-IT"/>
              </w:rPr>
              <w:t>Liquido oleoso in dispersione gassosa</w:t>
            </w:r>
          </w:p>
        </w:tc>
      </w:tr>
      <w:tr w:rsidR="000172B9" w14:paraId="23AC9DEA" w14:textId="77777777" w:rsidTr="004864E8">
        <w:trPr>
          <w:trHeight w:val="397"/>
        </w:trPr>
        <w:tc>
          <w:tcPr>
            <w:tcW w:w="5147" w:type="dxa"/>
            <w:vAlign w:val="center"/>
          </w:tcPr>
          <w:p w14:paraId="1212F81A" w14:textId="77777777" w:rsidR="000172B9" w:rsidRPr="00AB1088" w:rsidRDefault="00AB1088" w:rsidP="00A37F68">
            <w:pPr>
              <w:pStyle w:val="TableParagraph"/>
              <w:ind w:left="114"/>
              <w:rPr>
                <w:sz w:val="17"/>
                <w:lang w:val="it-IT"/>
              </w:rPr>
            </w:pPr>
            <w:r w:rsidRPr="00AB1088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4067" w:type="dxa"/>
            <w:vAlign w:val="center"/>
          </w:tcPr>
          <w:p w14:paraId="7CC4C453" w14:textId="77777777" w:rsidR="000172B9" w:rsidRDefault="00AB1088" w:rsidP="00A37F68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Dispersione</w:t>
            </w:r>
            <w:proofErr w:type="spellEnd"/>
            <w:r>
              <w:rPr>
                <w:sz w:val="17"/>
              </w:rPr>
              <w:t xml:space="preserve"> a </w:t>
            </w:r>
            <w:proofErr w:type="spellStart"/>
            <w:r>
              <w:rPr>
                <w:sz w:val="17"/>
              </w:rPr>
              <w:t>nebulizzazione</w:t>
            </w:r>
            <w:proofErr w:type="spellEnd"/>
            <w:r>
              <w:rPr>
                <w:sz w:val="17"/>
              </w:rPr>
              <w:t xml:space="preserve"> fine</w:t>
            </w:r>
          </w:p>
        </w:tc>
      </w:tr>
      <w:tr w:rsidR="000172B9" w14:paraId="769801D4" w14:textId="77777777" w:rsidTr="004864E8">
        <w:trPr>
          <w:trHeight w:val="397"/>
        </w:trPr>
        <w:tc>
          <w:tcPr>
            <w:tcW w:w="5147" w:type="dxa"/>
            <w:shd w:val="clear" w:color="auto" w:fill="EDEDED"/>
            <w:vAlign w:val="center"/>
          </w:tcPr>
          <w:p w14:paraId="3032D3EE" w14:textId="77777777" w:rsidR="000172B9" w:rsidRPr="00AB1088" w:rsidRDefault="00AB1088" w:rsidP="00A37F68">
            <w:pPr>
              <w:pStyle w:val="TableParagraph"/>
              <w:ind w:left="114"/>
              <w:rPr>
                <w:sz w:val="17"/>
                <w:lang w:val="it-IT"/>
              </w:rPr>
            </w:pPr>
            <w:r w:rsidRPr="00AB1088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4067" w:type="dxa"/>
            <w:shd w:val="clear" w:color="auto" w:fill="EDEDED"/>
            <w:vAlign w:val="center"/>
          </w:tcPr>
          <w:p w14:paraId="28F91499" w14:textId="77777777" w:rsidR="000172B9" w:rsidRDefault="00AB1088" w:rsidP="00A37F68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Erogatore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supplementare</w:t>
            </w:r>
            <w:proofErr w:type="spellEnd"/>
            <w:r>
              <w:rPr>
                <w:sz w:val="17"/>
              </w:rPr>
              <w:t xml:space="preserve"> non </w:t>
            </w:r>
            <w:proofErr w:type="spellStart"/>
            <w:r>
              <w:rPr>
                <w:sz w:val="17"/>
              </w:rPr>
              <w:t>previsto</w:t>
            </w:r>
            <w:proofErr w:type="spellEnd"/>
          </w:p>
        </w:tc>
      </w:tr>
      <w:tr w:rsidR="000172B9" w14:paraId="43F37A7F" w14:textId="77777777" w:rsidTr="004864E8">
        <w:trPr>
          <w:trHeight w:val="403"/>
        </w:trPr>
        <w:tc>
          <w:tcPr>
            <w:tcW w:w="5147" w:type="dxa"/>
            <w:vAlign w:val="center"/>
          </w:tcPr>
          <w:p w14:paraId="408B1076" w14:textId="77777777" w:rsidR="000172B9" w:rsidRDefault="00AB1088" w:rsidP="00A37F68">
            <w:pPr>
              <w:pStyle w:val="TableParagraph"/>
              <w:spacing w:before="42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Cannuccia</w:t>
            </w:r>
            <w:proofErr w:type="spellEnd"/>
          </w:p>
        </w:tc>
        <w:tc>
          <w:tcPr>
            <w:tcW w:w="4067" w:type="dxa"/>
            <w:vAlign w:val="center"/>
          </w:tcPr>
          <w:p w14:paraId="32034ED1" w14:textId="77777777" w:rsidR="000172B9" w:rsidRDefault="00AB1088" w:rsidP="00A37F68">
            <w:pPr>
              <w:pStyle w:val="TableParagraph"/>
              <w:spacing w:before="42"/>
              <w:rPr>
                <w:sz w:val="17"/>
              </w:rPr>
            </w:pPr>
            <w:r>
              <w:rPr>
                <w:sz w:val="17"/>
              </w:rPr>
              <w:t xml:space="preserve">Non </w:t>
            </w:r>
            <w:proofErr w:type="spellStart"/>
            <w:r>
              <w:rPr>
                <w:sz w:val="17"/>
              </w:rPr>
              <w:t>prevista</w:t>
            </w:r>
            <w:proofErr w:type="spellEnd"/>
          </w:p>
        </w:tc>
      </w:tr>
      <w:tr w:rsidR="000172B9" w14:paraId="4BF180C2" w14:textId="77777777" w:rsidTr="004864E8">
        <w:trPr>
          <w:trHeight w:val="397"/>
        </w:trPr>
        <w:tc>
          <w:tcPr>
            <w:tcW w:w="5147" w:type="dxa"/>
            <w:shd w:val="clear" w:color="auto" w:fill="EDEDED"/>
            <w:vAlign w:val="center"/>
          </w:tcPr>
          <w:p w14:paraId="6EAF3A6B" w14:textId="77777777" w:rsidR="000172B9" w:rsidRDefault="00AB1088" w:rsidP="00A37F68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4067" w:type="dxa"/>
            <w:shd w:val="clear" w:color="auto" w:fill="EDEDED"/>
            <w:vAlign w:val="center"/>
          </w:tcPr>
          <w:p w14:paraId="5361045F" w14:textId="0CE8A5B9" w:rsidR="000172B9" w:rsidRDefault="00890802" w:rsidP="00A37F68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I</w:t>
            </w:r>
            <w:r w:rsidR="00AB1088">
              <w:rPr>
                <w:sz w:val="17"/>
              </w:rPr>
              <w:t>ncolore</w:t>
            </w:r>
            <w:proofErr w:type="spellEnd"/>
          </w:p>
        </w:tc>
      </w:tr>
      <w:tr w:rsidR="000172B9" w14:paraId="20012568" w14:textId="77777777" w:rsidTr="004864E8">
        <w:trPr>
          <w:trHeight w:val="397"/>
        </w:trPr>
        <w:tc>
          <w:tcPr>
            <w:tcW w:w="5147" w:type="dxa"/>
            <w:vAlign w:val="center"/>
          </w:tcPr>
          <w:p w14:paraId="0AE580ED" w14:textId="77777777" w:rsidR="000172B9" w:rsidRDefault="00AB1088" w:rsidP="00A37F68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4067" w:type="dxa"/>
            <w:vAlign w:val="center"/>
          </w:tcPr>
          <w:p w14:paraId="218FAD89" w14:textId="77777777" w:rsidR="000172B9" w:rsidRDefault="00AB1088" w:rsidP="00A37F68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</w:tbl>
    <w:p w14:paraId="6704C8F1" w14:textId="77777777" w:rsidR="000172B9" w:rsidRPr="00165A9F" w:rsidRDefault="00AB1088">
      <w:pPr>
        <w:pStyle w:val="Titolo3"/>
        <w:spacing w:before="244"/>
        <w:rPr>
          <w:sz w:val="20"/>
          <w:szCs w:val="20"/>
        </w:rPr>
      </w:pPr>
      <w:proofErr w:type="spellStart"/>
      <w:r w:rsidRPr="00165A9F">
        <w:rPr>
          <w:color w:val="0D0D0D"/>
          <w:w w:val="105"/>
          <w:sz w:val="20"/>
          <w:szCs w:val="20"/>
        </w:rPr>
        <w:t>Contiene</w:t>
      </w:r>
      <w:proofErr w:type="spellEnd"/>
    </w:p>
    <w:p w14:paraId="3D9DAE4D" w14:textId="712D404C" w:rsidR="000172B9" w:rsidRDefault="00AB1088">
      <w:pPr>
        <w:spacing w:before="13"/>
        <w:ind w:left="836"/>
        <w:rPr>
          <w:sz w:val="17"/>
        </w:rPr>
      </w:pPr>
      <w:proofErr w:type="spellStart"/>
      <w:r w:rsidRPr="00165A9F">
        <w:rPr>
          <w:sz w:val="20"/>
          <w:szCs w:val="20"/>
        </w:rPr>
        <w:t>fluidi</w:t>
      </w:r>
      <w:proofErr w:type="spellEnd"/>
      <w:r w:rsidRPr="00165A9F">
        <w:rPr>
          <w:sz w:val="20"/>
          <w:szCs w:val="20"/>
        </w:rPr>
        <w:t xml:space="preserve"> </w:t>
      </w:r>
      <w:proofErr w:type="spellStart"/>
      <w:r w:rsidR="00890802" w:rsidRPr="00165A9F">
        <w:rPr>
          <w:sz w:val="20"/>
          <w:szCs w:val="20"/>
        </w:rPr>
        <w:t>antiadesivi</w:t>
      </w:r>
      <w:proofErr w:type="spellEnd"/>
      <w:r w:rsidRPr="00165A9F">
        <w:rPr>
          <w:sz w:val="20"/>
          <w:szCs w:val="20"/>
        </w:rPr>
        <w:t xml:space="preserve">, </w:t>
      </w:r>
      <w:proofErr w:type="spellStart"/>
      <w:r w:rsidRPr="00165A9F">
        <w:rPr>
          <w:sz w:val="20"/>
          <w:szCs w:val="20"/>
        </w:rPr>
        <w:t>propellente</w:t>
      </w:r>
      <w:proofErr w:type="spellEnd"/>
      <w:r w:rsidRPr="00165A9F">
        <w:rPr>
          <w:sz w:val="20"/>
          <w:szCs w:val="20"/>
        </w:rPr>
        <w:t xml:space="preserve"> </w:t>
      </w:r>
      <w:proofErr w:type="spellStart"/>
      <w:r w:rsidRPr="00165A9F">
        <w:rPr>
          <w:sz w:val="20"/>
          <w:szCs w:val="20"/>
        </w:rPr>
        <w:t>Propano</w:t>
      </w:r>
      <w:proofErr w:type="spellEnd"/>
      <w:r w:rsidRPr="00165A9F">
        <w:rPr>
          <w:sz w:val="20"/>
          <w:szCs w:val="20"/>
        </w:rPr>
        <w:t>/</w:t>
      </w:r>
      <w:proofErr w:type="spellStart"/>
      <w:r w:rsidRPr="00165A9F">
        <w:rPr>
          <w:sz w:val="20"/>
          <w:szCs w:val="20"/>
        </w:rPr>
        <w:t>Butano</w:t>
      </w:r>
      <w:proofErr w:type="spellEnd"/>
    </w:p>
    <w:p w14:paraId="65349743" w14:textId="77777777" w:rsidR="000172B9" w:rsidRDefault="000172B9">
      <w:pPr>
        <w:pStyle w:val="Corpotesto"/>
      </w:pPr>
    </w:p>
    <w:p w14:paraId="2D9BD6A2" w14:textId="77777777" w:rsidR="000172B9" w:rsidRDefault="000172B9">
      <w:pPr>
        <w:pStyle w:val="Corpotesto"/>
      </w:pPr>
    </w:p>
    <w:p w14:paraId="4E85D0E7" w14:textId="77777777" w:rsidR="000172B9" w:rsidRDefault="000172B9">
      <w:pPr>
        <w:pStyle w:val="Corpotesto"/>
      </w:pPr>
    </w:p>
    <w:p w14:paraId="7EAC15C4" w14:textId="77777777" w:rsidR="000172B9" w:rsidRDefault="000172B9">
      <w:pPr>
        <w:pStyle w:val="Corpotesto"/>
      </w:pPr>
    </w:p>
    <w:p w14:paraId="2ACBF6F7" w14:textId="77777777" w:rsidR="000172B9" w:rsidRDefault="000172B9">
      <w:pPr>
        <w:pStyle w:val="Corpotesto"/>
      </w:pPr>
    </w:p>
    <w:p w14:paraId="6DCE37D2" w14:textId="77777777" w:rsidR="000172B9" w:rsidRDefault="000172B9">
      <w:pPr>
        <w:pStyle w:val="Corpotesto"/>
      </w:pPr>
    </w:p>
    <w:p w14:paraId="1B40682E" w14:textId="77777777" w:rsidR="000172B9" w:rsidRDefault="000172B9">
      <w:pPr>
        <w:pStyle w:val="Corpotesto"/>
        <w:spacing w:before="7"/>
        <w:rPr>
          <w:sz w:val="17"/>
        </w:rPr>
      </w:pPr>
    </w:p>
    <w:p w14:paraId="10E96DFA" w14:textId="44A39792" w:rsidR="000172B9" w:rsidRPr="00BE6B70" w:rsidRDefault="00AB1088">
      <w:pPr>
        <w:pStyle w:val="Titolo2"/>
        <w:rPr>
          <w:sz w:val="20"/>
          <w:szCs w:val="20"/>
        </w:rPr>
      </w:pPr>
      <w:proofErr w:type="spellStart"/>
      <w:r w:rsidRPr="00BE6B70">
        <w:rPr>
          <w:sz w:val="20"/>
          <w:szCs w:val="20"/>
        </w:rPr>
        <w:t>MODALITA</w:t>
      </w:r>
      <w:proofErr w:type="spellEnd"/>
      <w:r w:rsidRPr="00BE6B70">
        <w:rPr>
          <w:sz w:val="20"/>
          <w:szCs w:val="20"/>
        </w:rPr>
        <w:t xml:space="preserve">' </w:t>
      </w:r>
      <w:proofErr w:type="spellStart"/>
      <w:r w:rsidRPr="00BE6B70">
        <w:rPr>
          <w:sz w:val="20"/>
          <w:szCs w:val="20"/>
        </w:rPr>
        <w:t>D’USO</w:t>
      </w:r>
      <w:proofErr w:type="spellEnd"/>
      <w:r w:rsidRPr="00BE6B70">
        <w:rPr>
          <w:sz w:val="20"/>
          <w:szCs w:val="20"/>
        </w:rPr>
        <w:t xml:space="preserve"> </w:t>
      </w:r>
      <w:proofErr w:type="spellStart"/>
      <w:r w:rsidRPr="00BE6B70">
        <w:rPr>
          <w:sz w:val="20"/>
          <w:szCs w:val="20"/>
        </w:rPr>
        <w:t>RACCOMANDATE</w:t>
      </w:r>
      <w:proofErr w:type="spellEnd"/>
    </w:p>
    <w:p w14:paraId="52FA828C" w14:textId="77777777" w:rsidR="00890802" w:rsidRPr="00890802" w:rsidRDefault="00890802">
      <w:pPr>
        <w:pStyle w:val="Titolo2"/>
        <w:rPr>
          <w:sz w:val="24"/>
          <w:szCs w:val="24"/>
        </w:rPr>
      </w:pPr>
    </w:p>
    <w:p w14:paraId="644B41D8" w14:textId="62F595BA" w:rsidR="000172B9" w:rsidRPr="00AB1088" w:rsidRDefault="00AB1088" w:rsidP="004864E8">
      <w:pPr>
        <w:pStyle w:val="Corpotesto"/>
        <w:spacing w:line="266" w:lineRule="auto"/>
        <w:ind w:left="115" w:right="443"/>
        <w:jc w:val="both"/>
        <w:rPr>
          <w:lang w:val="it-IT"/>
        </w:rPr>
      </w:pPr>
      <w:r w:rsidRPr="00AB1088">
        <w:rPr>
          <w:w w:val="105"/>
          <w:lang w:val="it-IT"/>
        </w:rPr>
        <w:t>Per un corretto utilizzo</w:t>
      </w:r>
      <w:r w:rsidR="00890802" w:rsidRPr="00890802">
        <w:rPr>
          <w:w w:val="105"/>
          <w:lang w:val="it-IT"/>
        </w:rPr>
        <w:t>, agitare la bombola prima dell’uso</w:t>
      </w:r>
      <w:r w:rsidR="00890802">
        <w:rPr>
          <w:w w:val="105"/>
          <w:lang w:val="it-IT"/>
        </w:rPr>
        <w:t xml:space="preserve"> e</w:t>
      </w:r>
      <w:r w:rsidR="00890802" w:rsidRPr="00890802">
        <w:rPr>
          <w:w w:val="105"/>
          <w:lang w:val="it-IT"/>
        </w:rPr>
        <w:t xml:space="preserve"> </w:t>
      </w:r>
      <w:r w:rsidRPr="00AB1088">
        <w:rPr>
          <w:w w:val="105"/>
          <w:lang w:val="it-IT"/>
        </w:rPr>
        <w:t>spruzzare in quantità molto contenute. Asportare il prodotto in eccesso con un panno pulito.</w:t>
      </w:r>
    </w:p>
    <w:p w14:paraId="3629F1C8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022D583B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7D082B31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3D6E046A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40AC3C09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66B7C535" w14:textId="33156862" w:rsidR="00803F7C" w:rsidRDefault="00803F7C">
      <w:pPr>
        <w:pStyle w:val="Corpotesto"/>
        <w:rPr>
          <w:sz w:val="20"/>
          <w:lang w:val="it-IT"/>
        </w:rPr>
      </w:pPr>
    </w:p>
    <w:p w14:paraId="2A362953" w14:textId="77777777" w:rsidR="00803F7C" w:rsidRPr="00AB1088" w:rsidRDefault="00803F7C">
      <w:pPr>
        <w:pStyle w:val="Corpotesto"/>
        <w:rPr>
          <w:sz w:val="20"/>
          <w:lang w:val="it-IT"/>
        </w:rPr>
      </w:pPr>
    </w:p>
    <w:p w14:paraId="3F07BEB2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3C54AA63" w14:textId="77777777" w:rsidR="00803F7C" w:rsidRPr="00436F64" w:rsidRDefault="00803F7C" w:rsidP="00803F7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71971BB" w14:textId="77777777" w:rsidR="00803F7C" w:rsidRPr="00436F64" w:rsidRDefault="00803F7C" w:rsidP="00803F7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462CDDA3" w14:textId="77777777" w:rsidR="00803F7C" w:rsidRPr="00436F64" w:rsidRDefault="00803F7C" w:rsidP="00803F7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23F93BA" w14:textId="77777777" w:rsidR="00803F7C" w:rsidRDefault="0039037C" w:rsidP="00803F7C">
      <w:pPr>
        <w:pStyle w:val="Corpotesto"/>
        <w:jc w:val="center"/>
        <w:rPr>
          <w:sz w:val="22"/>
          <w:lang w:val="it-IT"/>
        </w:rPr>
      </w:pPr>
      <w:hyperlink r:id="rId7" w:history="1">
        <w:r w:rsidR="00803F7C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1C13146C" w14:textId="77777777" w:rsidR="00803F7C" w:rsidRDefault="00803F7C" w:rsidP="00803F7C">
      <w:pPr>
        <w:pStyle w:val="Corpotesto"/>
        <w:jc w:val="center"/>
        <w:rPr>
          <w:sz w:val="22"/>
          <w:lang w:val="it-IT"/>
        </w:rPr>
      </w:pPr>
    </w:p>
    <w:p w14:paraId="23034283" w14:textId="77777777" w:rsidR="00803F7C" w:rsidRPr="00436F64" w:rsidRDefault="00803F7C" w:rsidP="00803F7C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803F7C" w:rsidRPr="00436F64" w:rsidSect="001C4E0B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73E69" w14:textId="77777777" w:rsidR="0039037C" w:rsidRDefault="0039037C" w:rsidP="009C553C">
      <w:r>
        <w:separator/>
      </w:r>
    </w:p>
  </w:endnote>
  <w:endnote w:type="continuationSeparator" w:id="0">
    <w:p w14:paraId="0FF175CF" w14:textId="77777777" w:rsidR="0039037C" w:rsidRDefault="0039037C" w:rsidP="009C5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E50A3" w14:textId="77777777" w:rsidR="0039037C" w:rsidRDefault="0039037C" w:rsidP="009C553C">
      <w:r>
        <w:separator/>
      </w:r>
    </w:p>
  </w:footnote>
  <w:footnote w:type="continuationSeparator" w:id="0">
    <w:p w14:paraId="413DB587" w14:textId="77777777" w:rsidR="0039037C" w:rsidRDefault="0039037C" w:rsidP="009C55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2B9"/>
    <w:rsid w:val="000172B9"/>
    <w:rsid w:val="00165A9F"/>
    <w:rsid w:val="001C4E0B"/>
    <w:rsid w:val="0039037C"/>
    <w:rsid w:val="004864E8"/>
    <w:rsid w:val="006F47F5"/>
    <w:rsid w:val="00803F7C"/>
    <w:rsid w:val="00863570"/>
    <w:rsid w:val="00890802"/>
    <w:rsid w:val="00952CA9"/>
    <w:rsid w:val="009C553C"/>
    <w:rsid w:val="00A37F68"/>
    <w:rsid w:val="00AA3CF2"/>
    <w:rsid w:val="00AA66E7"/>
    <w:rsid w:val="00AB1088"/>
    <w:rsid w:val="00BE6B70"/>
    <w:rsid w:val="00D8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F02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3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9C55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53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55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553C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03F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5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9</cp:revision>
  <dcterms:created xsi:type="dcterms:W3CDTF">2018-03-27T10:17:00Z</dcterms:created>
  <dcterms:modified xsi:type="dcterms:W3CDTF">2019-11-12T14:36:00Z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